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Romans in Scotland</w:t>
      </w:r>
    </w:p>
    <w:p>
      <w:r>
        <w:t>A practical cross curricular teaching resource pack</w:t>
      </w:r>
    </w:p>
    <w:p>
      <w:r>
        <w:t>Curriculum for Excellence Second Level • P5–P7 • Four enquiry lessons of 50–60 minutes, with optional follow-up work</w:t>
      </w:r>
    </w:p>
    <w:p>
      <w:r>
        <w:t>Central understanding: Roman armies invaded and occupied parts of what is now Scotland, but never established lasting control over the whole country. Pupils investigate how we know, whose voices survive, and what life near the frontier might have been like.</w:t>
      </w:r>
    </w:p>
    <w:p>
      <w:pPr>
        <w:pStyle w:val="Heading2"/>
      </w:pPr>
      <w:r>
        <w:t>Curriculum context</w:t>
      </w:r>
    </w:p>
    <w:p>
      <w:r>
        <w:t>The Social Studies links below are planning summaries, not quotations from the official Experiences and Outcomes. Second Level is a progression level, not a fixed expectation for every pupil in a year group. These lessons contribute evidence towards outcomes; they do not assess an entire level. [1]</w:t>
      </w:r>
    </w:p>
    <w:tbl>
      <w:tblPr>
        <w:tblStyle w:val="TableGrid"/>
        <w:tblW w:type="auto" w:w="0"/>
        <w:tblLayout w:type="fixed"/>
        <w:tblLook w:firstColumn="1" w:firstRow="1" w:lastColumn="0" w:lastRow="0" w:noHBand="0" w:noVBand="1" w:val="04A0"/>
      </w:tblPr>
      <w:tblGrid>
        <w:gridCol w:w="1728"/>
        <w:gridCol w:w="8208"/>
      </w:tblGrid>
      <w:tr>
        <w:trPr>
          <w:cantSplit/>
          <w:tblHeader/>
        </w:trPr>
        <w:tc>
          <w:tcPr>
            <w:tcW w:type="dxa" w:w="1728"/>
            <w:tcBorders>
              <w:top w:val="single" w:sz="4" w:color="D9D9D9"/>
              <w:left w:val="single" w:sz="4" w:color="D9D9D9"/>
              <w:bottom w:val="single" w:sz="4" w:color="D9D9D9"/>
              <w:right w:val="single" w:sz="4" w:color="D9D9D9"/>
            </w:tcBorders>
            <w:shd w:fill="E7EDF2"/>
          </w:tcPr>
          <w:p>
            <w:pPr>
              <w:spacing w:after="100" w:before="100"/>
            </w:pPr>
            <w:r>
              <w:rPr>
                <w:b/>
              </w:rPr>
              <w:t>CfE outcome</w:t>
            </w:r>
          </w:p>
        </w:tc>
        <w:tc>
          <w:tcPr>
            <w:tcW w:type="dxa" w:w="8208"/>
            <w:tcBorders>
              <w:top w:val="single" w:sz="4" w:color="D9D9D9"/>
              <w:left w:val="single" w:sz="4" w:color="D9D9D9"/>
              <w:bottom w:val="single" w:sz="4" w:color="D9D9D9"/>
              <w:right w:val="single" w:sz="4" w:color="D9D9D9"/>
            </w:tcBorders>
            <w:shd w:fill="E7EDF2"/>
          </w:tcPr>
          <w:p>
            <w:pPr>
              <w:spacing w:after="100" w:before="100"/>
            </w:pPr>
            <w:r>
              <w:rPr>
                <w:b/>
              </w:rPr>
              <w:t>Application in this pack</w:t>
            </w:r>
          </w:p>
        </w:tc>
      </w:tr>
      <w:tr>
        <w:trPr>
          <w:cantSplit/>
        </w:trPr>
        <w:tc>
          <w:tcPr>
            <w:tcW w:type="dxa" w:w="1728"/>
            <w:tcBorders>
              <w:top w:val="single" w:sz="4" w:color="D9D9D9"/>
              <w:left w:val="single" w:sz="4" w:color="D9D9D9"/>
              <w:bottom w:val="single" w:sz="4" w:color="D9D9D9"/>
              <w:right w:val="single" w:sz="4" w:color="D9D9D9"/>
            </w:tcBorders>
          </w:tcPr>
          <w:p>
            <w:pPr>
              <w:spacing w:after="100" w:before="100"/>
            </w:pPr>
            <w:r>
              <w:t>SOC 2-01a</w:t>
            </w:r>
          </w:p>
        </w:tc>
        <w:tc>
          <w:tcPr>
            <w:tcW w:type="dxa" w:w="8208"/>
            <w:tcBorders>
              <w:top w:val="single" w:sz="4" w:color="D9D9D9"/>
              <w:left w:val="single" w:sz="4" w:color="D9D9D9"/>
              <w:bottom w:val="single" w:sz="4" w:color="D9D9D9"/>
              <w:right w:val="single" w:sz="4" w:color="D9D9D9"/>
            </w:tcBorders>
          </w:tcPr>
          <w:p>
            <w:pPr>
              <w:spacing w:after="100" w:before="100"/>
            </w:pPr>
            <w:r>
              <w:t>Select primary and secondary sources to investigate the past; compare an object with a modern explanation.</w:t>
            </w:r>
          </w:p>
        </w:tc>
      </w:tr>
      <w:tr>
        <w:trPr>
          <w:cantSplit/>
        </w:trPr>
        <w:tc>
          <w:tcPr>
            <w:tcW w:type="dxa" w:w="1728"/>
            <w:tcBorders>
              <w:top w:val="single" w:sz="4" w:color="D9D9D9"/>
              <w:left w:val="single" w:sz="4" w:color="D9D9D9"/>
              <w:bottom w:val="single" w:sz="4" w:color="D9D9D9"/>
              <w:right w:val="single" w:sz="4" w:color="D9D9D9"/>
            </w:tcBorders>
          </w:tcPr>
          <w:p>
            <w:pPr>
              <w:spacing w:after="100" w:before="100"/>
            </w:pPr>
            <w:r>
              <w:t>SOC 2-02a</w:t>
            </w:r>
          </w:p>
        </w:tc>
        <w:tc>
          <w:tcPr>
            <w:tcW w:type="dxa" w:w="8208"/>
            <w:tcBorders>
              <w:top w:val="single" w:sz="4" w:color="D9D9D9"/>
              <w:left w:val="single" w:sz="4" w:color="D9D9D9"/>
              <w:bottom w:val="single" w:sz="4" w:color="D9D9D9"/>
              <w:right w:val="single" w:sz="4" w:color="D9D9D9"/>
            </w:tcBorders>
          </w:tcPr>
          <w:p>
            <w:pPr>
              <w:spacing w:after="100" w:before="100"/>
            </w:pPr>
            <w:r>
              <w:t>Interpret evidence and develop chronology; connect the Iron Age, Roman incursions and the present.</w:t>
            </w:r>
          </w:p>
        </w:tc>
      </w:tr>
      <w:tr>
        <w:trPr>
          <w:cantSplit/>
        </w:trPr>
        <w:tc>
          <w:tcPr>
            <w:tcW w:type="dxa" w:w="1728"/>
            <w:tcBorders>
              <w:top w:val="single" w:sz="4" w:color="D9D9D9"/>
              <w:left w:val="single" w:sz="4" w:color="D9D9D9"/>
              <w:bottom w:val="single" w:sz="4" w:color="D9D9D9"/>
              <w:right w:val="single" w:sz="4" w:color="D9D9D9"/>
            </w:tcBorders>
          </w:tcPr>
          <w:p>
            <w:pPr>
              <w:spacing w:after="100" w:before="100"/>
            </w:pPr>
            <w:r>
              <w:t>SOC 2-03a</w:t>
            </w:r>
          </w:p>
        </w:tc>
        <w:tc>
          <w:tcPr>
            <w:tcW w:type="dxa" w:w="8208"/>
            <w:tcBorders>
              <w:top w:val="single" w:sz="4" w:color="D9D9D9"/>
              <w:left w:val="single" w:sz="4" w:color="D9D9D9"/>
              <w:bottom w:val="single" w:sz="4" w:color="D9D9D9"/>
              <w:right w:val="single" w:sz="4" w:color="D9D9D9"/>
            </w:tcBorders>
          </w:tcPr>
          <w:p>
            <w:pPr>
              <w:spacing w:after="100" w:before="100"/>
            </w:pPr>
            <w:r>
              <w:t>Investigate a Scottish historical theme and its effects; consider changing communities, surviving sites and heritage today.</w:t>
            </w:r>
          </w:p>
        </w:tc>
      </w:tr>
      <w:tr>
        <w:trPr>
          <w:cantSplit/>
        </w:trPr>
        <w:tc>
          <w:tcPr>
            <w:tcW w:type="dxa" w:w="1728"/>
            <w:tcBorders>
              <w:top w:val="single" w:sz="4" w:color="D9D9D9"/>
              <w:left w:val="single" w:sz="4" w:color="D9D9D9"/>
              <w:bottom w:val="single" w:sz="4" w:color="D9D9D9"/>
              <w:right w:val="single" w:sz="4" w:color="D9D9D9"/>
            </w:tcBorders>
          </w:tcPr>
          <w:p>
            <w:pPr>
              <w:spacing w:after="100" w:before="100"/>
            </w:pPr>
            <w:r>
              <w:t>SOC 2-04a</w:t>
            </w:r>
          </w:p>
        </w:tc>
        <w:tc>
          <w:tcPr>
            <w:tcW w:type="dxa" w:w="8208"/>
            <w:tcBorders>
              <w:top w:val="single" w:sz="4" w:color="D9D9D9"/>
              <w:left w:val="single" w:sz="4" w:color="D9D9D9"/>
              <w:bottom w:val="single" w:sz="4" w:color="D9D9D9"/>
              <w:right w:val="single" w:sz="4" w:color="D9D9D9"/>
            </w:tcBorders>
          </w:tcPr>
          <w:p>
            <w:pPr>
              <w:spacing w:after="100" w:before="100"/>
            </w:pPr>
            <w:r>
              <w:t>Compare a past society with our own; discuss food, homes, travel and daily responsibilities.</w:t>
            </w:r>
          </w:p>
        </w:tc>
      </w:tr>
      <w:tr>
        <w:trPr>
          <w:cantSplit/>
        </w:trPr>
        <w:tc>
          <w:tcPr>
            <w:tcW w:type="dxa" w:w="1728"/>
            <w:tcBorders>
              <w:top w:val="single" w:sz="4" w:color="D9D9D9"/>
              <w:left w:val="single" w:sz="4" w:color="D9D9D9"/>
              <w:bottom w:val="single" w:sz="4" w:color="D9D9D9"/>
              <w:right w:val="single" w:sz="4" w:color="D9D9D9"/>
            </w:tcBorders>
          </w:tcPr>
          <w:p>
            <w:pPr>
              <w:spacing w:after="100" w:before="100"/>
            </w:pPr>
            <w:r>
              <w:t>SOC 2-06a</w:t>
            </w:r>
          </w:p>
        </w:tc>
        <w:tc>
          <w:tcPr>
            <w:tcW w:type="dxa" w:w="8208"/>
            <w:tcBorders>
              <w:top w:val="single" w:sz="4" w:color="D9D9D9"/>
              <w:left w:val="single" w:sz="4" w:color="D9D9D9"/>
              <w:bottom w:val="single" w:sz="4" w:color="D9D9D9"/>
              <w:right w:val="single" w:sz="4" w:color="D9D9D9"/>
            </w:tcBorders>
          </w:tcPr>
          <w:p>
            <w:pPr>
              <w:spacing w:after="100" w:before="100"/>
            </w:pPr>
            <w:r>
              <w:t>Explain the importance of people and events in historical sequence; distinguish the different Roman advances.</w:t>
            </w:r>
          </w:p>
        </w:tc>
      </w:tr>
    </w:tbl>
    <w:p>
      <w:pPr>
        <w:pStyle w:val="Heading2"/>
      </w:pPr>
      <w:r>
        <w:t>Cross curricular links</w:t>
      </w:r>
    </w:p>
    <w:p>
      <w:r>
        <w:t>ENG 2-31a: create a convincing fictional voice and setting. EXA 2-14a: present improvised or scripted drama for an audience. TCH 2-09a: solve a design problem by constructing a model. MTH 2-17d: interpret scale in models and maps. These are contextual links, not separate attainment claims. [1]</w:t>
      </w:r>
    </w:p>
    <w:p>
      <w:r>
        <w:t>Literacy also runs through questioning, listening and evidence-based explanations. Numerals provide a number-system context; map measurements give a stronger numeracy application than numeral recall alone.</w:t>
      </w:r>
    </w:p>
    <w:p>
      <w:r>
        <w:br w:type="page"/>
      </w:r>
    </w:p>
    <w:p>
      <w:pPr>
        <w:pStyle w:val="Heading1"/>
      </w:pPr>
      <w:r>
        <w:t>Learning intentions and teaching sequence</w:t>
      </w:r>
    </w:p>
    <w:tbl>
      <w:tblPr>
        <w:tblStyle w:val="TableGrid"/>
        <w:tblW w:type="auto" w:w="0"/>
        <w:tblLayout w:type="fixed"/>
        <w:tblLook w:firstColumn="1" w:firstRow="1" w:lastColumn="0" w:lastRow="0" w:noHBand="0" w:noVBand="1" w:val="04A0"/>
      </w:tblPr>
      <w:tblGrid>
        <w:gridCol w:w="3744"/>
        <w:gridCol w:w="6192"/>
      </w:tblGrid>
      <w:tr>
        <w:trPr>
          <w:cantSplit/>
          <w:tblHeader/>
        </w:trPr>
        <w:tc>
          <w:tcPr>
            <w:tcW w:type="dxa" w:w="3744"/>
            <w:tcBorders>
              <w:top w:val="single" w:sz="4" w:color="D9D9D9"/>
              <w:left w:val="single" w:sz="4" w:color="D9D9D9"/>
              <w:bottom w:val="single" w:sz="4" w:color="D9D9D9"/>
              <w:right w:val="single" w:sz="4" w:color="D9D9D9"/>
            </w:tcBorders>
            <w:shd w:fill="E7EDF2"/>
          </w:tcPr>
          <w:p>
            <w:pPr>
              <w:spacing w:after="100" w:before="100"/>
            </w:pPr>
            <w:r>
              <w:rPr>
                <w:b/>
              </w:rPr>
              <w:t>Learning intention</w:t>
            </w:r>
          </w:p>
        </w:tc>
        <w:tc>
          <w:tcPr>
            <w:tcW w:type="dxa" w:w="6192"/>
            <w:tcBorders>
              <w:top w:val="single" w:sz="4" w:color="D9D9D9"/>
              <w:left w:val="single" w:sz="4" w:color="D9D9D9"/>
              <w:bottom w:val="single" w:sz="4" w:color="D9D9D9"/>
              <w:right w:val="single" w:sz="4" w:color="D9D9D9"/>
            </w:tcBorders>
            <w:shd w:fill="E7EDF2"/>
          </w:tcPr>
          <w:p>
            <w:pPr>
              <w:spacing w:after="100" w:before="100"/>
            </w:pPr>
            <w:r>
              <w:rPr>
                <w:b/>
              </w:rPr>
              <w:t>Success criteria</w:t>
            </w:r>
          </w:p>
        </w:tc>
      </w:tr>
      <w:tr>
        <w:trPr>
          <w:cantSplit/>
        </w:trPr>
        <w:tc>
          <w:tcPr>
            <w:tcW w:type="dxa" w:w="3744"/>
            <w:tcBorders>
              <w:top w:val="single" w:sz="4" w:color="D9D9D9"/>
              <w:left w:val="single" w:sz="4" w:color="D9D9D9"/>
              <w:bottom w:val="single" w:sz="4" w:color="D9D9D9"/>
              <w:right w:val="single" w:sz="4" w:color="D9D9D9"/>
            </w:tcBorders>
          </w:tcPr>
          <w:p>
            <w:pPr>
              <w:spacing w:after="100" w:before="100"/>
            </w:pPr>
            <w:r>
              <w:t>1  We are learning to use evidence to investigate Roman Scotland.</w:t>
            </w:r>
          </w:p>
        </w:tc>
        <w:tc>
          <w:tcPr>
            <w:tcW w:type="dxa" w:w="6192"/>
            <w:tcBorders>
              <w:top w:val="single" w:sz="4" w:color="D9D9D9"/>
              <w:left w:val="single" w:sz="4" w:color="D9D9D9"/>
              <w:bottom w:val="single" w:sz="4" w:color="D9D9D9"/>
              <w:right w:val="single" w:sz="4" w:color="D9D9D9"/>
            </w:tcBorders>
          </w:tcPr>
          <w:p>
            <w:pPr>
              <w:spacing w:after="100" w:before="100"/>
            </w:pPr>
            <w:r>
              <w:t>I can describe two features of an artefact.</w:t>
              <w:br/>
              <w:t>I can use an object record and a modern source to support an idea.</w:t>
              <w:br/>
              <w:t>I can say what the evidence cannot tell me.</w:t>
            </w:r>
          </w:p>
        </w:tc>
      </w:tr>
      <w:tr>
        <w:trPr>
          <w:cantSplit/>
        </w:trPr>
        <w:tc>
          <w:tcPr>
            <w:tcW w:type="dxa" w:w="3744"/>
            <w:tcBorders>
              <w:top w:val="single" w:sz="4" w:color="D9D9D9"/>
              <w:left w:val="single" w:sz="4" w:color="D9D9D9"/>
              <w:bottom w:val="single" w:sz="4" w:color="D9D9D9"/>
              <w:right w:val="single" w:sz="4" w:color="D9D9D9"/>
            </w:tcBorders>
          </w:tcPr>
          <w:p>
            <w:pPr>
              <w:spacing w:after="100" w:before="100"/>
            </w:pPr>
            <w:r>
              <w:t>2  We are learning to compare lives on the Scottish frontier.</w:t>
            </w:r>
          </w:p>
        </w:tc>
        <w:tc>
          <w:tcPr>
            <w:tcW w:type="dxa" w:w="6192"/>
            <w:tcBorders>
              <w:top w:val="single" w:sz="4" w:color="D9D9D9"/>
              <w:left w:val="single" w:sz="4" w:color="D9D9D9"/>
              <w:bottom w:val="single" w:sz="4" w:color="D9D9D9"/>
              <w:right w:val="single" w:sz="4" w:color="D9D9D9"/>
            </w:tcBorders>
          </w:tcPr>
          <w:p>
            <w:pPr>
              <w:spacing w:after="100" w:before="100"/>
            </w:pPr>
            <w:r>
              <w:t>I can explain two similarities or differences between a soldier and a local young person.</w:t>
              <w:br/>
              <w:t>I can compare one feature with my life today.</w:t>
              <w:br/>
              <w:t>I can separate a supported detail from something I imagined.</w:t>
            </w:r>
          </w:p>
        </w:tc>
      </w:tr>
      <w:tr>
        <w:trPr>
          <w:cantSplit/>
        </w:trPr>
        <w:tc>
          <w:tcPr>
            <w:tcW w:type="dxa" w:w="3744"/>
            <w:tcBorders>
              <w:top w:val="single" w:sz="4" w:color="D9D9D9"/>
              <w:left w:val="single" w:sz="4" w:color="D9D9D9"/>
              <w:bottom w:val="single" w:sz="4" w:color="D9D9D9"/>
              <w:right w:val="single" w:sz="4" w:color="D9D9D9"/>
            </w:tcBorders>
          </w:tcPr>
          <w:p>
            <w:pPr>
              <w:spacing w:after="100" w:before="100"/>
            </w:pPr>
            <w:r>
              <w:t>3  We are learning to explain how Roman activity changed across Scotland.</w:t>
            </w:r>
          </w:p>
        </w:tc>
        <w:tc>
          <w:tcPr>
            <w:tcW w:type="dxa" w:w="6192"/>
            <w:tcBorders>
              <w:top w:val="single" w:sz="4" w:color="D9D9D9"/>
              <w:left w:val="single" w:sz="4" w:color="D9D9D9"/>
              <w:bottom w:val="single" w:sz="4" w:color="D9D9D9"/>
              <w:right w:val="single" w:sz="4" w:color="D9D9D9"/>
            </w:tcBorders>
          </w:tcPr>
          <w:p>
            <w:pPr>
              <w:spacing w:after="100" w:before="100"/>
            </w:pPr>
            <w:r>
              <w:t>I can place three events in order and locate three sites.</w:t>
              <w:br/>
              <w:t>I can explain one purpose of a frontier or road using my map or model.</w:t>
              <w:br/>
              <w:t>I can explain why an invasion is not the same as permanent control.</w:t>
            </w:r>
          </w:p>
        </w:tc>
      </w:tr>
    </w:tbl>
    <w:p>
      <w:pPr>
        <w:pStyle w:val="Heading2"/>
      </w:pPr>
      <w:r>
        <w:t>Four mini topics</w:t>
      </w:r>
    </w:p>
    <w:p>
      <w:pPr>
        <w:pStyle w:val="ListBullet"/>
      </w:pPr>
      <w:r>
        <w:t>1  People before and during the invasions. Explore skilled Iron Age farmers, metalworkers and builders alongside Roman legionaries and auxiliaries. Brochs are sophisticated stone roundhouses, especially common in northern and western Scotland; they were not everybody’s home or simply anti-Roman forts. Use Activity 1 to ask what survives of different lives.</w:t>
      </w:r>
    </w:p>
    <w:p>
      <w:pPr>
        <w:pStyle w:val="ListBullet"/>
      </w:pPr>
      <w:r>
        <w:t>2  The Antonine frontier. Investigate the turf rampart, northern ditch, forts and Military Way. Rough Castle and Bearsden are on the frontier; Cramond near Edinburgh and Trimontium near Melrose are separate forts in the wider network. Use Activity 2 for soldiers, families and local neighbours.</w:t>
      </w:r>
    </w:p>
    <w:p>
      <w:pPr>
        <w:pStyle w:val="ListBullet"/>
      </w:pPr>
      <w:r>
        <w:t>3  Campaigns and engineering. Compare a temporary marching camp, a longer-lived fort and a road. Ask how armies moved people, food and equipment. Introduce Agricola and Tacitus’s account of Mons Graupius, then use Activity 3 to test a construction idea.</w:t>
      </w:r>
    </w:p>
    <w:p>
      <w:pPr>
        <w:pStyle w:val="ListBullet"/>
      </w:pPr>
      <w:r>
        <w:t>4  Contact and changing control. Investigate food, footwear, trade and supply using Bearsden and Trimontium. Consider conflict as well as exchange. Use Activity 4 to locate sites and revisit repeated advances and withdrawals. Roman influence continued beyond military occupation.</w:t>
      </w:r>
    </w:p>
    <w:p>
      <w:pPr>
        <w:pStyle w:val="Heading2"/>
      </w:pPr>
      <w:r>
        <w:t>Preparation and access</w:t>
      </w:r>
    </w:p>
    <w:p>
      <w:r>
        <w:t>Provide pencils, rulers, scrap card, modelling materials and trays. Print pages 7–8 for pupils; display the linked object images and map on page 10 if devices are available. The description cards work without images. Allow paired reading, oral recording, scribing or labelled drawings. Use the support/core/extend options flexibly, rather than assigning them automatically by age.</w:t>
      </w:r>
    </w:p>
    <w:p>
      <w:r>
        <w:t>Useful vocabulary: artefact = a human-made object; source = evidence or information we use; inference = a reasoned idea; frontier = an area at the edge of control; auxiliary = a soldier in a supporting army unit; rampart = a defensive bank; chronology = events in time order.</w:t>
      </w:r>
    </w:p>
    <w:p>
      <w:r>
        <w:br w:type="page"/>
      </w:r>
    </w:p>
    <w:p>
      <w:pPr>
        <w:pStyle w:val="Heading1"/>
      </w:pPr>
      <w:r>
        <w:t>Activity 1  Archaeological detectives</w:t>
      </w:r>
    </w:p>
    <w:p>
      <w:r>
        <w:t>50 minutes • Social Studies and literacy • Main focus: LI 1 • Evidence to collect: one completed investigation record and a spoken justification</w:t>
      </w:r>
    </w:p>
    <w:p>
      <w:pPr>
        <w:pStyle w:val="Heading2"/>
      </w:pPr>
      <w:r>
        <w:t>Teacher preparation</w:t>
      </w:r>
    </w:p>
    <w:p>
      <w:r>
        <w:t>Use the three description cards on page 7. For close observation, display museum or Antonine Wall photographs using page 10. State that a photograph represents an original object: the ancient object is primary evidence, while the modern caption and these cards are secondary interpretations. Replicas are modern teaching aids.</w:t>
      </w:r>
    </w:p>
    <w:p>
      <w:pPr>
        <w:pStyle w:val="Heading2"/>
      </w:pPr>
      <w:r>
        <w:t>Lesson steps</w:t>
      </w:r>
    </w:p>
    <w:p>
      <w:r>
        <w:t>1. Notice before naming — 5 minutes. Display a shoe or coin image without its caption. Ask pupils to describe only what they can see. Record “I notice” separately from “I think”.</w:t>
      </w:r>
    </w:p>
    <w:p>
      <w:r>
        <w:t>2. Investigate — 18 minutes. Groups rotate through coin, shoe and distance-slab stations. Read the cards and complete: “I notice… This might suggest… My reason is… Another possibility is… We cannot tell…” If working from descriptions alone, label observations “the record says”.</w:t>
      </w:r>
    </w:p>
    <w:p>
      <w:r>
        <w:t>3. Choose a source — 10 minutes. Give each group a question: “Who used this place?”, “How can we date activity?” or “Who wanted to be remembered?” Ask which object and which modern source best help answer it, and why.</w:t>
      </w:r>
    </w:p>
    <w:p>
      <w:r>
        <w:t>4. Challenge a claim — 10 minutes. Offer: “A Roman coin proves the Romans ruled this place.” Groups suggest other routes by which a coin could arrive: trade, a gift, payment or later movement. Discuss how its excavation context changes confidence.</w:t>
      </w:r>
    </w:p>
    <w:p>
      <w:r>
        <w:t>5. Curate — 7 minutes. Write or record a museum label with one supported claim, its evidence and one uncertainty. Explain that archaeologists record where objects occur, not just collect attractive objects.</w:t>
      </w:r>
    </w:p>
    <w:p>
      <w:pPr>
        <w:pStyle w:val="Heading2"/>
      </w:pPr>
      <w:r>
        <w:t>Differentiation</w:t>
      </w:r>
    </w:p>
    <w:p>
      <w:pPr>
        <w:pStyle w:val="ListBullet"/>
      </w:pPr>
      <w:r>
        <w:t>Support: use one object, enlarged images and a word bank: leather, metal, stone, letters, worn. Provide “I think… because…” and let pupils dictate their label.</w:t>
      </w:r>
    </w:p>
    <w:p>
      <w:pPr>
        <w:pStyle w:val="ListBullet"/>
      </w:pPr>
      <w:r>
        <w:t>Core: investigate all three objects; distinguish an observation, an inference and an unanswered question. Choose two useful sources for one enquiry.</w:t>
      </w:r>
    </w:p>
    <w:p>
      <w:pPr>
        <w:pStyle w:val="ListBullet"/>
      </w:pPr>
      <w:r>
        <w:t>Extend: compare an inscription’s official message with a shoe or food remains. Whose lives are most visible? Explain how two sources might support or complicate one another.</w:t>
      </w:r>
    </w:p>
    <w:p>
      <w:pPr>
        <w:pStyle w:val="Heading2"/>
      </w:pPr>
      <w:r>
        <w:t>Teacher answer notes</w:t>
      </w:r>
    </w:p>
    <w:p>
      <w:r>
        <w:t>Coins can help date a deposit, but may circulate for years and can move between communities. Shoes inform us about footwear and sometimes the range of wearers, but do not reveal an owner’s name or feelings. Distance slabs celebrate building achievements and imperial authority; they are neither neutral photographs nor ordinary road milestones. [3, 4]</w:t>
      </w:r>
    </w:p>
    <w:p>
      <w:r>
        <w:t>Feedback prompt: “Which part is directly supported? What wording would show that the next part is only possible?” Look for careful language, not confident guessing.</w:t>
      </w:r>
    </w:p>
    <w:p>
      <w:r>
        <w:br w:type="page"/>
      </w:r>
    </w:p>
    <w:p>
      <w:pPr>
        <w:pStyle w:val="Heading1"/>
      </w:pPr>
      <w:r>
        <w:t>Activity 2  Two voices in winter</w:t>
      </w:r>
    </w:p>
    <w:p>
      <w:r>
        <w:t>55 minutes • Literacy and drama • Main focus: LI 2 • Evidence to collect: hot-seat answers or two short fictional diary entries, plus an evidence note</w:t>
      </w:r>
    </w:p>
    <w:p>
      <w:pPr>
        <w:pStyle w:val="Heading2"/>
      </w:pPr>
      <w:r>
        <w:t>Set the scene</w:t>
      </w:r>
    </w:p>
    <w:p>
      <w:r>
        <w:t>It is an imagined winter day around AD 150 near the Antonine Wall. One character is an adult auxiliary soldier; the other is a local Iron Age young person. Do not describe a Roman army recruit as a child. Snow is possible, not a known event on our invented date. “Celtic” is a broad modern label, not proof that local people shared one identity.</w:t>
      </w:r>
    </w:p>
    <w:p>
      <w:pPr>
        <w:pStyle w:val="Heading2"/>
      </w:pPr>
      <w:r>
        <w:t>Role cards to read aloud</w:t>
      </w:r>
    </w:p>
    <w:p>
      <w:r>
        <w:t>Soldier: You live in a fort and serve in an auxiliary unit. Duties may include guarding, training, maintenance and carrying supplies. Fort life involves shared accommodation and organised routines. Legionaries were Roman citizens; auxiliaries were recruited more widely and formed much of the frontier garrison. The army draws on many communities across the empire; you need not be from Italy. Decide an imagined feeling about your posting, but do not invent a documented biography.</w:t>
      </w:r>
    </w:p>
    <w:p>
      <w:r>
        <w:t>Local young person: You belong to a nearby farming household. Your community has its own skills, buildings and traditions. Seasonal tasks might involve animals, stored food or craftwork. Evidence from Bearsden includes cereals, local fruit and imported figs; ask how food reached the fort. Roman presence could bring customers, restrictions, danger or uncertainty. Choose a response; no surviving diary tells us what this particular young person thought.</w:t>
      </w:r>
    </w:p>
    <w:p>
      <w:pPr>
        <w:pStyle w:val="Heading2"/>
      </w:pPr>
      <w:r>
        <w:t>Lesson steps</w:t>
      </w:r>
    </w:p>
    <w:p>
      <w:r>
        <w:t>1. Gather evidence — 10 minutes. Revisit shoes, food and fort buildings. Make a shared list of supported details and a separate list of imaginative choices. Use a roundhouse setting without assuming every household lived in a broch.</w:t>
      </w:r>
    </w:p>
    <w:p>
      <w:r>
        <w:t>2. Rehearse — 10 minutes. Partners ask: “What work must you do today?”, “What might you eat?”, “Who makes decisions?”, “How do you feel about people beyond the frontier?” Answer in role, then step out of role to explain the evidence.</w:t>
      </w:r>
    </w:p>
    <w:p>
      <w:r>
        <w:t>3. Present — 20 minutes. Hot-seat each role for two minutes, or write two diary entries of about 100 words each. Use first person, a clear sequence and sensory details. Pupils may choose an audio diary or a six-frame comic.</w:t>
      </w:r>
    </w:p>
    <w:p>
      <w:r>
        <w:t>4. Compare — 10 minutes. Identify a shared need and a difference in power or duties. Add one comparison with your own winter day: heating, food supply, schooling or travel.</w:t>
      </w:r>
    </w:p>
    <w:p>
      <w:r>
        <w:t>5. Check — 5 minutes. Underline two evidence-based details and circle two inventions. Finish: “My character is fictional. The evidence I used was…”</w:t>
      </w:r>
    </w:p>
    <w:p>
      <w:pPr>
        <w:pStyle w:val="Heading2"/>
      </w:pPr>
      <w:r>
        <w:t>Differentiation</w:t>
      </w:r>
    </w:p>
    <w:p>
      <w:pPr>
        <w:pStyle w:val="ListBullet"/>
      </w:pPr>
      <w:r>
        <w:t>Support: choose one role, use three picture prompts and complete four sentence starters. A partner supplies the other viewpoint.</w:t>
      </w:r>
    </w:p>
    <w:p>
      <w:pPr>
        <w:pStyle w:val="ListBullet"/>
      </w:pPr>
      <w:r>
        <w:t>Core: show both viewpoints and explain two supported comparisons, including one with the present.</w:t>
      </w:r>
    </w:p>
    <w:p>
      <w:pPr>
        <w:pStyle w:val="ListBullet"/>
      </w:pPr>
      <w:r>
        <w:t>Extend: let the characters interpret the same encounter differently. Add an author’s note identifying a stereotype avoided and a gap in the sources.</w:t>
      </w:r>
    </w:p>
    <w:p>
      <w:r>
        <w:t>Assess historical plausibility separately from spelling or performance confidence. Do not require accents or portray local people as less intelligent or less skilled.</w:t>
      </w:r>
    </w:p>
    <w:p>
      <w:r>
        <w:br w:type="page"/>
      </w:r>
    </w:p>
    <w:p>
      <w:pPr>
        <w:pStyle w:val="Heading1"/>
      </w:pPr>
      <w:r>
        <w:t>Activity 3  Engineer an Antonine rampart</w:t>
      </w:r>
    </w:p>
    <w:p>
      <w:r>
        <w:t>60 minutes • STEM, technology and expressive arts • Main focus: LI 3 • Evidence to collect: a labelled plan, model, test record and proposed improvement</w:t>
      </w:r>
    </w:p>
    <w:p>
      <w:pPr>
        <w:pStyle w:val="Heading2"/>
      </w:pPr>
      <w:r>
        <w:t>Design brief</w:t>
      </w:r>
    </w:p>
    <w:p>
      <w:r>
        <w:t>Build a model showing a stone foundation and layered turf above it. Add a northern ditch and label the Military Way to the south. The real rampart was mostly turf, with some earth-and-clay construction. Details of its original top are uncertain: any walkway or wooden barrier on your model must be labelled as a reconstruction. [5]</w:t>
      </w:r>
    </w:p>
    <w:p>
      <w:r>
        <w:t>Materials: card base, ruler, reusable clay or stacked card blocks, small clean stones or paper “stones”, tray and a measuring jug. Use safe blunt tools. A dry version can use card labels and a teacher demonstration instead of water.</w:t>
      </w:r>
    </w:p>
    <w:p>
      <w:pPr>
        <w:pStyle w:val="Heading2"/>
      </w:pPr>
      <w:r>
        <w:t>Scale and measurements</w:t>
      </w:r>
    </w:p>
    <w:p>
      <w:r>
        <w:t>Use 1:50: 1 cm on the model represents 50 cm in real life. For our rounded teaching reconstruction, take a 4 m wide foundation and 3 m rampart height: these become 8 cm and 6 cm. A 10 m long section becomes 20 cm. These are working dimensions, not a measured reconstruction of one excavated stretch. Mark the ditch and road symbolically; do not claim their spacing is to scale.</w:t>
      </w:r>
    </w:p>
    <w:p>
      <w:pPr>
        <w:pStyle w:val="Heading2"/>
      </w:pPr>
      <w:r>
        <w:t>Lesson steps</w:t>
      </w:r>
    </w:p>
    <w:p>
      <w:r>
        <w:t>1. Plan — 10 minutes. Draw a side view; label north and south, materials, scale and dimensions. Agree what would make the model successful: correct features, a stable shape and clear communication.</w:t>
      </w:r>
    </w:p>
    <w:p>
      <w:r>
        <w:t>2. Build — 20 minutes. Allocate designer, builder, measurer and recorder roles, allowing pupils to change roles. Stack layers and check dimensions. Make a labelled display that shows the construction sequence.</w:t>
      </w:r>
    </w:p>
    <w:p>
      <w:r>
        <w:t>3. Test — 10 minutes. Place a small spare sample in a tray. Add 50 ml of water from the same height to each comparison sample; record slumping and water movement. Change one feature, such as base material, while keeping size and water volume the same. Alternatively, compare stability under the same gentle tilt.</w:t>
      </w:r>
    </w:p>
    <w:p>
      <w:r>
        <w:t>4. Improve — 10 minutes. Make one change and repeat the same test. Record what improved, stayed similar or became worse.</w:t>
      </w:r>
    </w:p>
    <w:p>
      <w:r>
        <w:t>5. Explain — 10 minutes. Groups present their choices and discuss what their model can and cannot tell us about an ancient turf structure.</w:t>
      </w:r>
    </w:p>
    <w:p>
      <w:pPr>
        <w:pStyle w:val="Heading2"/>
      </w:pPr>
      <w:r>
        <w:t>Differentiation</w:t>
      </w:r>
    </w:p>
    <w:p>
      <w:pPr>
        <w:pStyle w:val="ListBullet"/>
      </w:pPr>
      <w:r>
        <w:t>Support: give a dimensioned outline and pre-cut materials; focus on feature placement and one reason for a material choice.</w:t>
      </w:r>
    </w:p>
    <w:p>
      <w:pPr>
        <w:pStyle w:val="ListBullet"/>
      </w:pPr>
      <w:r>
        <w:t>Core: calculate model dimensions, keep a fair comparison and justify one improvement.</w:t>
      </w:r>
    </w:p>
    <w:p>
      <w:pPr>
        <w:pStyle w:val="ListBullet"/>
      </w:pPr>
      <w:r>
        <w:t>Extend: calculate the same dimensions at 1:100 (4 cm, 3 cm, 10 cm). Explain why changing both material and size would make comparison harder.</w:t>
      </w:r>
    </w:p>
    <w:p>
      <w:r>
        <w:t>Teacher note: card and clay behave differently from living turf. A successful classroom test does not prove exactly how the real Wall performed. Praise explanations that recognise this limit.</w:t>
      </w:r>
    </w:p>
    <w:p>
      <w:r>
        <w:br w:type="page"/>
      </w:r>
    </w:p>
    <w:p>
      <w:pPr>
        <w:pStyle w:val="Heading1"/>
      </w:pPr>
      <w:r>
        <w:t>Activity 4  Numbers and routes</w:t>
      </w:r>
    </w:p>
    <w:p>
      <w:r>
        <w:t>55 minutes • Numeracy, geography and digital technology • Main focus: LI 3 • Evidence to collect: numeral answers and an annotated map or route explanation</w:t>
      </w:r>
    </w:p>
    <w:p>
      <w:pPr>
        <w:pStyle w:val="Heading2"/>
      </w:pPr>
      <w:r>
        <w:t>Prepare the map</w:t>
      </w:r>
    </w:p>
    <w:p>
      <w:r>
        <w:t>Display the mid-second-century map of forts, fortlets, roads and the Antonine Wall in the National Museums Scotland history resource on page 10. Use its caption to distinguish it from the late-first-century camp map on the same page. If unavailable, use the simplified pupil map on page 8. The latter is a location-and-connection diagram, not a measured road survey.</w:t>
      </w:r>
    </w:p>
    <w:p>
      <w:pPr>
        <w:pStyle w:val="Heading2"/>
      </w:pPr>
      <w:r>
        <w:t>Lesson steps</w:t>
      </w:r>
    </w:p>
    <w:p>
      <w:r>
        <w:t>1. Decode — 10 minutes. Teach I=1, V=5, X=10, L=50, C=100. Practise II, VI, XX, XIV, XL and CXLII. Use the Second, Sixth and Twentieth Legions to connect numerals with the builders of the Wall. Explain that IV and IX use subtraction; some ancient inscriptions instead use additive forms such as IIII.</w:t>
      </w:r>
    </w:p>
    <w:p>
      <w:r>
        <w:t>2. Locate — 15 minutes. Find Bearsden, Rough Castle, Cramond and Trimontium. Identify Forth and Clyde on the geographical map. Which two named forts sit on the Antonine frontier? Which lies much farther south? Trace the Military Way and a marked road associated with the Trimontium area; read the map key before interpreting a line.</w:t>
      </w:r>
    </w:p>
    <w:p>
      <w:r>
        <w:t>3. Measure — 10 minutes. Use the page 8 scale strip: a measured 6 cm line at 1 cm=5 km represents 30 km. A 9 cm line represents 45 km. At an assumed 15 km per day, these take two and three days. These are invented arithmetic examples, not distances between named forts or evidence for Roman marching speeds.</w:t>
      </w:r>
    </w:p>
    <w:p>
      <w:r>
        <w:t>4. Investigate digitally — 10 minutes. Use a teacher-approved map to compare a route with rivers and relief. Record a screenshot or annotated drawing with a source credit. If a digital map has no reliable scale at the current zoom, use the supplied scale exercise instead of measuring it.</w:t>
      </w:r>
    </w:p>
    <w:p>
      <w:r>
        <w:t>5. Explain — 10 minutes. Answer: “Why might a road bend?” Include a river crossing, slope or destination. Explain why a modern driving route does not necessarily follow a Roman road, and why sites from different periods should not be assumed to operate together.</w:t>
      </w:r>
    </w:p>
    <w:p>
      <w:pPr>
        <w:pStyle w:val="Heading2"/>
      </w:pPr>
      <w:r>
        <w:t>Differentiation</w:t>
      </w:r>
    </w:p>
    <w:p>
      <w:pPr>
        <w:pStyle w:val="ListBullet"/>
      </w:pPr>
      <w:r>
        <w:t>Support: use I–XX with a numeral key, locate three pre-labelled sites and count the intervals on the scale strip.</w:t>
      </w:r>
    </w:p>
    <w:p>
      <w:pPr>
        <w:pStyle w:val="ListBullet"/>
      </w:pPr>
      <w:r>
        <w:t>Core: decode all six numerals, interpret map symbols and calculate both sample journeys with units.</w:t>
      </w:r>
    </w:p>
    <w:p>
      <w:pPr>
        <w:pStyle w:val="ListBullet"/>
      </w:pPr>
      <w:r>
        <w:t>Extend: encode 49 as XLIX and 164 as CLXIV; explain why the numeral gives a number but not its meaning without context. Compare a straight line with a road route and explain the difference.</w:t>
      </w:r>
    </w:p>
    <w:p>
      <w:r>
        <w:t>Answer key: II=2; VI=6; XX=20; XIV=14; XL=40; CXLII=142. Bearsden and Rough Castle are on the Wall; Trimontium is the southernmost of these four. Greater distance alone cannot explain a route: supplies, crossings, terrain and orders also matter.</w:t>
      </w:r>
    </w:p>
    <w:p>
      <w:r>
        <w:br w:type="page"/>
      </w:r>
    </w:p>
    <w:p>
      <w:pPr>
        <w:pStyle w:val="Heading1"/>
      </w:pPr>
      <w:r>
        <w:t>Pupil sheet  Evidence and voices</w:t>
      </w:r>
    </w:p>
    <w:p>
      <w:r>
        <w:t>Name __________________________  Date __________________________</w:t>
      </w:r>
    </w:p>
    <w:p>
      <w:pPr>
        <w:pStyle w:val="Heading2"/>
      </w:pPr>
      <w:r>
        <w:t>Three evidence cards</w:t>
      </w:r>
    </w:p>
    <w:p>
      <w:r>
        <w:t>A  A coin from Bearsden. The excavation report records ten coins; the latest was made in AD 154–155 and was little worn. This is a modern summary of the report, not the coin’s own label. Think: does the year a coin was made tell us the exact year it was lost? [2, printed p 347]</w:t>
      </w:r>
    </w:p>
    <w:p>
      <w:r>
        <w:t>B  Leather shoes from Bearsden. Archaeologists recovered leather footwear. One sole shows a worn heel and replacement hobnails; the report illustrates these details. Think about material, shape, wear and preservation. A shoe can be evidence for everyday life even when we do not know its wearer. [2, chapter 19, pp 305–306]</w:t>
      </w:r>
    </w:p>
    <w:p>
      <w:r>
        <w:t>C  An Antonine distance slab. These carved building records name a legion, honour the emperor and record work completed. Some also show victory scenes. This is a summary of a type of object, not a translation of one particular stone. Think: whose achievement is celebrated, and whose viewpoint is missing? [3]</w:t>
      </w:r>
    </w:p>
    <w:p>
      <w:pPr>
        <w:pStyle w:val="Heading2"/>
      </w:pPr>
      <w:r>
        <w:t>My investigation record</w:t>
      </w:r>
    </w:p>
    <w:p>
      <w:r>
        <w:t>My object and the question I am investigating: _____________________________________________________</w:t>
      </w:r>
    </w:p>
    <w:p>
      <w:r>
        <w:t>_____________________________________________________________________</w:t>
      </w:r>
    </w:p>
    <w:p>
      <w:r>
        <w:t>Two things I can see or the record tells me: _____________________________________________________</w:t>
      </w:r>
    </w:p>
    <w:p>
      <w:r>
        <w:t>_____________________________________________________________________</w:t>
      </w:r>
    </w:p>
    <w:p>
      <w:r>
        <w:t>My inference and the evidence supporting it: _____________________________________________________</w:t>
      </w:r>
    </w:p>
    <w:p>
      <w:r>
        <w:t>_____________________________________________________________________</w:t>
      </w:r>
    </w:p>
    <w:p>
      <w:r>
        <w:t>A different possible explanation: _____________________________________________________</w:t>
      </w:r>
    </w:p>
    <w:p>
      <w:r>
        <w:t>_____________________________________________________________________</w:t>
      </w:r>
    </w:p>
    <w:p>
      <w:r>
        <w:t>One thing this object cannot tell me: _____________________________________________________</w:t>
      </w:r>
    </w:p>
    <w:p>
      <w:r>
        <w:t>_____________________________________________________________________</w:t>
      </w:r>
    </w:p>
    <w:p>
      <w:r>
        <w:t>A second source I would use and why: _____________________________________________________</w:t>
      </w:r>
    </w:p>
    <w:p>
      <w:r>
        <w:t>_____________________________________________________________________</w:t>
      </w:r>
    </w:p>
    <w:p>
      <w:pPr>
        <w:pStyle w:val="Heading2"/>
      </w:pPr>
      <w:r>
        <w:t>My character evidence note</w:t>
      </w:r>
    </w:p>
    <w:p>
      <w:r>
        <w:t>My character is fictional. Two details I supported with evidence are:</w:t>
      </w:r>
    </w:p>
    <w:p>
      <w:r>
        <w:t>1 ___________________________________________________________________</w:t>
      </w:r>
    </w:p>
    <w:p>
      <w:r>
        <w:t>2 ___________________________________________________________________</w:t>
      </w:r>
    </w:p>
    <w:p>
      <w:r>
        <w:t>Something I imagined: __________________________________________________</w:t>
      </w:r>
    </w:p>
    <w:p>
      <w:r>
        <w:t>A comparison with my life today: __________________________________________</w:t>
      </w:r>
    </w:p>
    <w:p>
      <w:r>
        <w:br w:type="page"/>
      </w:r>
    </w:p>
    <w:p>
      <w:pPr>
        <w:pStyle w:val="Heading1"/>
      </w:pPr>
      <w:r>
        <w:t>Pupil sheet  Sites numbers and chronology</w:t>
      </w:r>
    </w:p>
    <w:p>
      <w:r>
        <w:t>Name __________________________  Date __________________________</w:t>
      </w:r>
    </w:p>
    <w:p>
      <w:pPr>
        <w:pStyle w:val="Heading2"/>
      </w:pPr>
      <w:r>
        <w:t>A simplified location map</w:t>
      </w:r>
    </w:p>
    <w:p>
      <w:r>
        <w:t>North is towards the top. Locations are approximate; spacing is not to scale. Read each row from west to east. This diagram shows relationships, not the exact course of ancient roads.</w:t>
      </w:r>
    </w:p>
    <w:tbl>
      <w:tblPr>
        <w:tblStyle w:val="TableGrid"/>
        <w:tblW w:type="auto" w:w="0"/>
        <w:tblLook w:firstColumn="1" w:firstRow="1" w:lastColumn="0" w:lastRow="0" w:noHBand="0" w:noVBand="1" w:val="04A0"/>
      </w:tblPr>
      <w:tblGrid>
        <w:gridCol w:w="3408"/>
        <w:gridCol w:w="3408"/>
        <w:gridCol w:w="3408"/>
      </w:tblGrid>
      <w:tr>
        <w:trPr>
          <w:cantSplit/>
          <w:tblHeader/>
        </w:trPr>
        <w:tc>
          <w:tcPr>
            <w:tcW w:type="dxa" w:w="3408"/>
            <w:tcBorders>
              <w:top w:val="single" w:sz="4" w:color="D9D9D9"/>
              <w:left w:val="single" w:sz="4" w:color="D9D9D9"/>
              <w:bottom w:val="single" w:sz="4" w:color="D9D9D9"/>
              <w:right w:val="single" w:sz="4" w:color="D9D9D9"/>
            </w:tcBorders>
            <w:shd w:fill="E7EDF2"/>
          </w:tcPr>
          <w:p>
            <w:pPr>
              <w:spacing w:after="100" w:before="100"/>
            </w:pPr>
            <w:r>
              <w:rPr>
                <w:b/>
              </w:rPr>
              <w:t>Western area</w:t>
            </w:r>
          </w:p>
        </w:tc>
        <w:tc>
          <w:tcPr>
            <w:tcW w:type="dxa" w:w="3408"/>
            <w:tcBorders>
              <w:top w:val="single" w:sz="4" w:color="D9D9D9"/>
              <w:left w:val="single" w:sz="4" w:color="D9D9D9"/>
              <w:bottom w:val="single" w:sz="4" w:color="D9D9D9"/>
              <w:right w:val="single" w:sz="4" w:color="D9D9D9"/>
            </w:tcBorders>
            <w:shd w:fill="E7EDF2"/>
          </w:tcPr>
          <w:p>
            <w:pPr>
              <w:spacing w:after="100" w:before="100"/>
            </w:pPr>
            <w:r>
              <w:rPr>
                <w:b/>
              </w:rPr>
              <w:t>Central area</w:t>
            </w:r>
          </w:p>
        </w:tc>
        <w:tc>
          <w:tcPr>
            <w:tcW w:type="dxa" w:w="3408"/>
            <w:tcBorders>
              <w:top w:val="single" w:sz="4" w:color="D9D9D9"/>
              <w:left w:val="single" w:sz="4" w:color="D9D9D9"/>
              <w:bottom w:val="single" w:sz="4" w:color="D9D9D9"/>
              <w:right w:val="single" w:sz="4" w:color="D9D9D9"/>
            </w:tcBorders>
            <w:shd w:fill="E7EDF2"/>
          </w:tcPr>
          <w:p>
            <w:pPr>
              <w:spacing w:after="100" w:before="100"/>
            </w:pPr>
            <w:r>
              <w:rPr>
                <w:b/>
              </w:rPr>
              <w:t>Eastern area</w:t>
            </w:r>
          </w:p>
        </w:tc>
      </w:tr>
      <w:tr>
        <w:trPr>
          <w:cantSplit/>
        </w:trPr>
        <w:tc>
          <w:tcPr>
            <w:tcW w:type="dxa" w:w="3408"/>
            <w:tcBorders>
              <w:top w:val="single" w:sz="4" w:color="D9D9D9"/>
              <w:left w:val="single" w:sz="4" w:color="D9D9D9"/>
              <w:bottom w:val="single" w:sz="4" w:color="D9D9D9"/>
              <w:right w:val="single" w:sz="4" w:color="D9D9D9"/>
            </w:tcBorders>
          </w:tcPr>
          <w:p>
            <w:pPr>
              <w:spacing w:after="100" w:before="100"/>
            </w:pPr>
            <w:r>
              <w:t>Old Kilpatrick near Clyde</w:t>
            </w:r>
          </w:p>
        </w:tc>
        <w:tc>
          <w:tcPr>
            <w:tcW w:type="dxa" w:w="3408"/>
            <w:tcBorders>
              <w:top w:val="single" w:sz="4" w:color="D9D9D9"/>
              <w:left w:val="single" w:sz="4" w:color="D9D9D9"/>
              <w:bottom w:val="single" w:sz="4" w:color="D9D9D9"/>
              <w:right w:val="single" w:sz="4" w:color="D9D9D9"/>
            </w:tcBorders>
          </w:tcPr>
          <w:p>
            <w:pPr>
              <w:spacing w:after="100" w:before="100"/>
            </w:pPr>
            <w:r>
              <w:t>Rough Castle near Falkirk</w:t>
            </w:r>
          </w:p>
        </w:tc>
        <w:tc>
          <w:tcPr>
            <w:tcW w:type="dxa" w:w="3408"/>
            <w:tcBorders>
              <w:top w:val="single" w:sz="4" w:color="D9D9D9"/>
              <w:left w:val="single" w:sz="4" w:color="D9D9D9"/>
              <w:bottom w:val="single" w:sz="4" w:color="D9D9D9"/>
              <w:right w:val="single" w:sz="4" w:color="D9D9D9"/>
            </w:tcBorders>
          </w:tcPr>
          <w:p>
            <w:pPr>
              <w:spacing w:after="100" w:before="100"/>
            </w:pPr>
            <w:r>
              <w:t>Bo’ness near Forth</w:t>
            </w:r>
          </w:p>
        </w:tc>
      </w:tr>
      <w:tr>
        <w:trPr>
          <w:cantSplit/>
        </w:trPr>
        <w:tc>
          <w:tcPr>
            <w:tcW w:type="dxa" w:w="3408"/>
            <w:tcBorders>
              <w:top w:val="single" w:sz="4" w:color="D9D9D9"/>
              <w:left w:val="single" w:sz="4" w:color="D9D9D9"/>
              <w:bottom w:val="single" w:sz="4" w:color="D9D9D9"/>
              <w:right w:val="single" w:sz="4" w:color="D9D9D9"/>
            </w:tcBorders>
          </w:tcPr>
          <w:p>
            <w:pPr>
              <w:spacing w:after="100" w:before="100"/>
            </w:pPr>
            <w:r>
              <w:t>Bearsden on the Wall</w:t>
            </w:r>
          </w:p>
        </w:tc>
        <w:tc>
          <w:tcPr>
            <w:tcW w:type="dxa" w:w="3408"/>
            <w:tcBorders>
              <w:top w:val="single" w:sz="4" w:color="D9D9D9"/>
              <w:left w:val="single" w:sz="4" w:color="D9D9D9"/>
              <w:bottom w:val="single" w:sz="4" w:color="D9D9D9"/>
              <w:right w:val="single" w:sz="4" w:color="D9D9D9"/>
            </w:tcBorders>
          </w:tcPr>
          <w:p>
            <w:pPr>
              <w:spacing w:after="100" w:before="100"/>
            </w:pPr>
            <w:r>
              <w:t>Antonine frontier across this belt</w:t>
            </w:r>
          </w:p>
        </w:tc>
        <w:tc>
          <w:tcPr>
            <w:tcW w:type="dxa" w:w="3408"/>
            <w:tcBorders>
              <w:top w:val="single" w:sz="4" w:color="D9D9D9"/>
              <w:left w:val="single" w:sz="4" w:color="D9D9D9"/>
              <w:bottom w:val="single" w:sz="4" w:color="D9D9D9"/>
              <w:right w:val="single" w:sz="4" w:color="D9D9D9"/>
            </w:tcBorders>
          </w:tcPr>
          <w:p>
            <w:pPr>
              <w:spacing w:after="100" w:before="100"/>
            </w:pPr>
            <w:r>
              <w:t>Cramond near Edinburgh, east of the Wall</w:t>
            </w:r>
          </w:p>
        </w:tc>
      </w:tr>
      <w:tr>
        <w:trPr>
          <w:cantSplit/>
        </w:trPr>
        <w:tc>
          <w:tcPr>
            <w:tcW w:type="dxa" w:w="3408"/>
            <w:tcBorders>
              <w:top w:val="single" w:sz="4" w:color="D9D9D9"/>
              <w:left w:val="single" w:sz="4" w:color="D9D9D9"/>
              <w:bottom w:val="single" w:sz="4" w:color="D9D9D9"/>
              <w:right w:val="single" w:sz="4" w:color="D9D9D9"/>
            </w:tcBorders>
          </w:tcPr>
          <w:p>
            <w:pPr>
              <w:spacing w:after="100" w:before="100"/>
            </w:pPr>
            <w:r/>
          </w:p>
        </w:tc>
        <w:tc>
          <w:tcPr>
            <w:tcW w:type="dxa" w:w="3408"/>
            <w:tcBorders>
              <w:top w:val="single" w:sz="4" w:color="D9D9D9"/>
              <w:left w:val="single" w:sz="4" w:color="D9D9D9"/>
              <w:bottom w:val="single" w:sz="4" w:color="D9D9D9"/>
              <w:right w:val="single" w:sz="4" w:color="D9D9D9"/>
            </w:tcBorders>
          </w:tcPr>
          <w:p>
            <w:pPr>
              <w:spacing w:after="100" w:before="100"/>
            </w:pPr>
            <w:r>
              <w:t>Farther south in the Borders</w:t>
            </w:r>
          </w:p>
        </w:tc>
        <w:tc>
          <w:tcPr>
            <w:tcW w:type="dxa" w:w="3408"/>
            <w:tcBorders>
              <w:top w:val="single" w:sz="4" w:color="D9D9D9"/>
              <w:left w:val="single" w:sz="4" w:color="D9D9D9"/>
              <w:bottom w:val="single" w:sz="4" w:color="D9D9D9"/>
              <w:right w:val="single" w:sz="4" w:color="D9D9D9"/>
            </w:tcBorders>
          </w:tcPr>
          <w:p>
            <w:pPr>
              <w:spacing w:after="100" w:before="100"/>
            </w:pPr>
            <w:r>
              <w:t>Trimontium near Melrose</w:t>
            </w:r>
          </w:p>
        </w:tc>
      </w:tr>
    </w:tbl>
    <w:p>
      <w:r>
        <w:t>The Military Way ran along the southern side of the Antonine Wall and linked its forts. A different road corridor, traditionally called Dere Street, connected the Borders with the Roman network farther north. Draw a line across the frontier row labelled “schematic frontier connection”; do not join every site as if a direct road is known.</w:t>
      </w:r>
    </w:p>
    <w:p>
      <w:r>
        <w:t>Circle two forts on the Wall. Underline one fort in the Borders. Explain why Cramond should not be drawn as a fort on the Wall itself.</w:t>
      </w:r>
    </w:p>
    <w:p>
      <w:pPr>
        <w:pStyle w:val="Heading2"/>
      </w:pPr>
      <w:r>
        <w:t>Number and scale practice</w:t>
      </w:r>
    </w:p>
    <w:p>
      <w:r>
        <w:t>Key: I=1  V=5  X=10  L=50  C=100. Decode: II ___  VI ___  XX ___  XIV ___  XL ___  CXLII ___</w:t>
      </w:r>
    </w:p>
    <w:p>
      <w:r>
        <w:drawing>
          <wp:inline xmlns:a="http://schemas.openxmlformats.org/drawingml/2006/main" xmlns:pic="http://schemas.openxmlformats.org/drawingml/2006/picture">
            <wp:extent cx="3600000" cy="392797"/>
            <wp:docPr id="1" name="Picture 1"/>
            <wp:cNvGraphicFramePr>
              <a:graphicFrameLocks noChangeAspect="1"/>
            </wp:cNvGraphicFramePr>
            <a:graphic>
              <a:graphicData uri="http://schemas.openxmlformats.org/drawingml/2006/picture">
                <pic:pic>
                  <pic:nvPicPr>
                    <pic:cNvPr id="0" name="scale.png"/>
                    <pic:cNvPicPr/>
                  </pic:nvPicPr>
                  <pic:blipFill>
                    <a:blip r:embed="rId11"/>
                    <a:stretch>
                      <a:fillRect/>
                    </a:stretch>
                  </pic:blipFill>
                  <pic:spPr>
                    <a:xfrm>
                      <a:off x="0" y="0"/>
                      <a:ext cx="3600000" cy="392797"/>
                    </a:xfrm>
                    <a:prstGeom prst="rect"/>
                  </pic:spPr>
                </pic:pic>
              </a:graphicData>
            </a:graphic>
          </wp:inline>
        </w:drawing>
      </w:r>
    </w:p>
    <w:p>
      <w:r>
        <w:t>Scale strip in km: each interval represents 5 km. At the intended print size, each interval is 1 cm. If your printout is resized, use the labelled intervals rather than a ruler.</w:t>
      </w:r>
    </w:p>
    <w:p>
      <w:r>
        <w:t>Practice route A is six intervals: _____ km. Route B is nine intervals: _____ km. At an assumed 15 km per day: A _____ days; B _____ days. These are fictional routes.</w:t>
      </w:r>
    </w:p>
    <w:p>
      <w:pPr>
        <w:pStyle w:val="Heading2"/>
      </w:pPr>
      <w:r>
        <w:t>Put the events in order</w:t>
      </w:r>
    </w:p>
    <w:p>
      <w:r>
        <w:t>Number these from earliest to latest: ___ Antonine Wall begins, around AD 142; ___ Mons Graupius, AD 83 or 84; ___ Severus campaigns, AD 208–211; ___ Antonine frontier abandoned, during the AD 160s.</w:t>
      </w:r>
    </w:p>
    <w:p>
      <w:r>
        <w:t>Now explain: “A Roman army reached a place. Does that mean Rome ruled it permanently?”</w:t>
      </w:r>
    </w:p>
    <w:p>
      <w:r>
        <w:t>_____________________________________________________________________</w:t>
      </w:r>
    </w:p>
    <w:p>
      <w:r>
        <w:br w:type="page"/>
      </w:r>
    </w:p>
    <w:p>
      <w:pPr>
        <w:pStyle w:val="Heading1"/>
      </w:pPr>
      <w:r>
        <w:t>Discussion assessment and historical care</w:t>
      </w:r>
    </w:p>
    <w:p>
      <w:pPr>
        <w:pStyle w:val="Heading2"/>
      </w:pPr>
      <w:r>
        <w:t>Three big questions</w:t>
      </w:r>
    </w:p>
    <w:p>
      <w:r>
        <w:t>1  Did the Romans really fail in Scotland? First decide what “success” might mean to an emperor, a soldier and a local family. Separate winning a battle, building a frontier and keeping permanent control. Ask each group for evidence and a counterargument.</w:t>
      </w:r>
    </w:p>
    <w:p>
      <w:r>
        <w:t>2  If we only listened to Roman voices, whose story would we miss? Compare a victory slab with evidence of homes, food or shoes. Ask what children, women, farmers and enslaved people might have experienced, while acknowledging gaps in what survives.</w:t>
      </w:r>
    </w:p>
    <w:p>
      <w:r>
        <w:t>3  Could a frontier divide people and connect them at the same time? Discuss defence and restrictions alongside roads, trade and personal contact. Ask pupils to avoid assuming every local person resisted or every encounter was friendly.</w:t>
      </w:r>
    </w:p>
    <w:p>
      <w:pPr>
        <w:pStyle w:val="Heading2"/>
      </w:pPr>
      <w:r>
        <w:t>A three minute exit ticket</w:t>
      </w:r>
    </w:p>
    <w:p>
      <w:r>
        <w:t>Complete three lines: “One claim I can support is… My evidence is…”; “One thing we are less certain about is…”; “The Romans occupied parts of Scotland, but…” Accept speech or drawings with labels.</w:t>
      </w:r>
    </w:p>
    <w:p>
      <w:r>
        <w:t>Sort responses into: secure claim with evidence; plausible claim without support; misconception. Begin the next lesson with one anonymous example from each category. Revisit the three learning intentions and agree one next step with pupils.</w:t>
      </w:r>
    </w:p>
    <w:p>
      <w:pPr>
        <w:pStyle w:val="Heading2"/>
      </w:pPr>
      <w:r>
        <w:t>Teacher historical notes</w:t>
      </w:r>
    </w:p>
    <w:p>
      <w:pPr>
        <w:pStyle w:val="ListBullet"/>
      </w:pPr>
      <w:r>
        <w:t>Scotland is a modern geographical shorthand here. There was no single Scottish state or one united “Celtic nation”. Roman writers name groups such as the Caledonii. Caledonia is a Roman geographical term; named groups were not one united people.</w:t>
      </w:r>
    </w:p>
    <w:p>
      <w:pPr>
        <w:pStyle w:val="ListBullet"/>
      </w:pPr>
      <w:r>
        <w:t>Brochs were built by Iron Age communities, especially in the north and west, with some southern examples. Do not equate every broch builder with a named Caledonian tribe. People already farmed and possessed sophisticated building and craft skills before Roman arrival.</w:t>
      </w:r>
    </w:p>
    <w:p>
      <w:pPr>
        <w:pStyle w:val="ListBullet"/>
      </w:pPr>
      <w:r>
        <w:t>Tacitus describes Agricola’s victory at Mons Graupius, conventionally dated AD 83 or 84. Its location is unconfirmed. Tacitus was Agricola’s son-in-law, and his account has a Roman perspective. Speeches in it are literary compositions, not verbatim transcripts.</w:t>
      </w:r>
    </w:p>
    <w:p>
      <w:pPr>
        <w:pStyle w:val="ListBullet"/>
      </w:pPr>
      <w:r>
        <w:t>Hadrian’s Wall began in AD 122 in what is now northern England. The Antonine Wall began around AD 142 and was relinquished during the 160s; detailed chronology remains debated. Neither wall is the modern Scotland–England border.</w:t>
      </w:r>
    </w:p>
    <w:p>
      <w:pPr>
        <w:pStyle w:val="ListBullet"/>
      </w:pPr>
      <w:r>
        <w:t>Later campaigns under Septimius Severus in AD 208–211 show that withdrawal was not one final event. Resistance, supply demands, costs and wider imperial priorities all belong in the discussion; avoid a single certain explanation such as “it was too cold”.</w:t>
      </w:r>
    </w:p>
    <w:p>
      <w:pPr>
        <w:pStyle w:val="ListBullet"/>
      </w:pPr>
      <w:r>
        <w:t>Roman contact continued after armies withdrew. Do not imply that Scotland’s language, roads or legal system simply descend unchanged from this occupation. Surviving archaeology, museum collections and heritage care are clear present-day connections.</w:t>
      </w:r>
    </w:p>
    <w:p>
      <w:r>
        <w:t>Chronology answers for page 8, in the order printed: 2, 1, 4, 3. Sources for historical notes: [2], [6], [7] and the supplied research listed on page 10.</w:t>
      </w:r>
    </w:p>
    <w:p>
      <w:r>
        <w:br w:type="page"/>
      </w:r>
    </w:p>
    <w:p>
      <w:pPr>
        <w:pStyle w:val="Heading1"/>
      </w:pPr>
      <w:r>
        <w:t>Sources and ready to use links</w:t>
      </w:r>
    </w:p>
    <w:p>
      <w:r>
        <w:t>Teacher reference list • Links checked on 25 September 2026. Original lesson design; outcome descriptions are paraphrased. Use the source’s own object caption when displaying a photograph. Some sculpture includes violence: preview images and select a suitable detail for your class.</w:t>
      </w:r>
    </w:p>
    <w:p>
      <w:r>
        <w:rPr>
          <w:b/>
        </w:rPr>
        <w:t xml:space="preserve">1  Education Scotland official Experiences and Outcomes  </w:t>
      </w:r>
      <w:hyperlink r:id="rId12">
        <w:r>
          <w:rPr>
            <w:color w:val="155A8A"/>
          </w:rPr>
          <w:t>Open resource</w:t>
        </w:r>
      </w:hyperlink>
    </w:p>
    <w:p>
      <w:r>
        <w:t>Use Social Studies for SOC 2-01a, 2-02a, 2-03a, 2-04a and 2-06a; use the all-outcomes document for the cross curricular references. Planning should reflect your school’s progression and professional judgement.</w:t>
      </w:r>
    </w:p>
    <w:p>
      <w:r>
        <w:t>2  David J. Breeze, Bearsden A Roman Fort on the Antonine Wall (2016), supplied PDF. Especially the abstract on diet and supply, chapter 19 on leather (pp 305–306), and p 347 on coin dating and withdrawal. These provided the Bearsden description cards.</w:t>
      </w:r>
    </w:p>
    <w:p>
      <w:r>
        <w:rPr>
          <w:b/>
        </w:rPr>
        <w:t xml:space="preserve">3  Antonine Wall distance stones and photographs  </w:t>
      </w:r>
      <w:hyperlink r:id="rId13">
        <w:r>
          <w:rPr>
            <w:color w:val="155A8A"/>
          </w:rPr>
          <w:t>Open resource</w:t>
        </w:r>
      </w:hyperlink>
    </w:p>
    <w:p>
      <w:r>
        <w:rPr>
          <w:b/>
        </w:rPr>
        <w:t xml:space="preserve">4  Antonine Wall personal belongings and footwear images  </w:t>
      </w:r>
      <w:hyperlink r:id="rId14">
        <w:r>
          <w:rPr>
            <w:color w:val="155A8A"/>
          </w:rPr>
          <w:t>Open resource</w:t>
        </w:r>
      </w:hyperlink>
    </w:p>
    <w:p>
      <w:r>
        <w:rPr>
          <w:b/>
        </w:rPr>
        <w:t xml:space="preserve">5  Antonine Wall construction and frontier features  </w:t>
      </w:r>
      <w:hyperlink r:id="rId15">
        <w:r>
          <w:rPr>
            <w:color w:val="155A8A"/>
          </w:rPr>
          <w:t>Open resource</w:t>
        </w:r>
      </w:hyperlink>
    </w:p>
    <w:p>
      <w:r>
        <w:rPr>
          <w:b/>
        </w:rPr>
        <w:t xml:space="preserve">6  National Museums Scotland history and period maps  </w:t>
      </w:r>
      <w:hyperlink r:id="rId16">
        <w:r>
          <w:rPr>
            <w:color w:val="155A8A"/>
          </w:rPr>
          <w:t>Open resource</w:t>
        </w:r>
      </w:hyperlink>
    </w:p>
    <w:p>
      <w:r>
        <w:t>For Activity 4 select the map captioned “Roman forts, fortlets, roads and the Antonine Wall in the mid-2nd century AD”. The two maps on this page represent different periods. Display the source credit with the map.</w:t>
      </w:r>
    </w:p>
    <w:p>
      <w:r>
        <w:rPr>
          <w:b/>
        </w:rPr>
        <w:t xml:space="preserve">7  National Museums Scotland Eildon Hills and local contact  </w:t>
      </w:r>
      <w:hyperlink r:id="rId17">
        <w:r>
          <w:rPr>
            <w:color w:val="155A8A"/>
          </w:rPr>
          <w:t>Open resource</w:t>
        </w:r>
      </w:hyperlink>
    </w:p>
    <w:p>
      <w:pPr>
        <w:pStyle w:val="Heading2"/>
      </w:pPr>
      <w:r>
        <w:t>Connections to your school resource pages</w:t>
      </w:r>
    </w:p>
    <w:p>
      <w:r>
        <w:rPr>
          <w:b/>
        </w:rPr>
        <w:t xml:space="preserve">Romans in Scotland topic overview  </w:t>
      </w:r>
      <w:hyperlink r:id="rId18">
        <w:r>
          <w:rPr>
            <w:color w:val="155A8A"/>
          </w:rPr>
          <w:t>Open resource</w:t>
        </w:r>
      </w:hyperlink>
    </w:p>
    <w:p>
      <w:r>
        <w:t>The Gylemuir overview is predominantly First Level/P3. This pack develops its diary, drama, modelling, maps and numerals for Second Level, with Scottish frontier evidence at the centre.</w:t>
      </w:r>
    </w:p>
    <w:p>
      <w:r>
        <w:rPr>
          <w:b/>
        </w:rPr>
        <w:t xml:space="preserve">Romans in Scotland school resources  </w:t>
      </w:r>
      <w:hyperlink r:id="rId19">
        <w:r>
          <w:rPr>
            <w:color w:val="155A8A"/>
          </w:rPr>
          <w:t>Open resource</w:t>
        </w:r>
      </w:hyperlink>
    </w:p>
    <w:p>
      <w:r>
        <w:t>Useful next resources listed there include the Go Roman handling box, the Hunterian’s numeral and news-writing activities, Trimontium’s road-planning and sandal activities, and Antonine Wall teaching materials. Check providers for current booking arrangements and downloads; the pack does not depend on a booked visit.</w:t>
      </w:r>
    </w:p>
    <w:p>
      <w:pPr>
        <w:pStyle w:val="Heading2"/>
      </w:pPr>
      <w:r>
        <w:t>Further supplied research and source limits</w:t>
      </w:r>
    </w:p>
    <w:p>
      <w:r>
        <w:t>Breeze and Hanson, editors, The Antonine Wall Papers in honour of Professor Lawrence Keppie, provides advanced context. Hanson, Jones and Hannon, Exploring the Antonine Wall with terrestrial remote sensing (2024), supports discussion of investigation beyond visible remains. Holder’s Auxiliary Deployment in the Reign of Hadrian (2003) concerns an earlier reign; it cannot on its own establish a particular garrison on the later Antonine Wall.</w:t>
      </w:r>
    </w:p>
    <w:p>
      <w:r>
        <w:t>The supplied frontier booklets offer wider background. The unlabelled relief photograph has not been presented as a Scottish find: its provenance was not supplied. No modern reconstruction or classroom role-play is treated as primary testimony.</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Romans in Scotland teaching pack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ROMANS IN SCOTLAND  |  CfE SECOND LEVEL  |  P5–P7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ducation.gov.scot/curriculum-for-excellence/experiences-and-outcomes/" TargetMode="External"/><Relationship Id="rId13" Type="http://schemas.openxmlformats.org/officeDocument/2006/relationships/hyperlink" Target="https://www.antoninewall.org/about-the-antonine-wall/key-findings-and-artefacts/distance-stones" TargetMode="External"/><Relationship Id="rId14" Type="http://schemas.openxmlformats.org/officeDocument/2006/relationships/hyperlink" Target="https://www.antoninewall.org/about-the-antonine-wall/key-findings-and-artefacts/personal-belongings" TargetMode="External"/><Relationship Id="rId15" Type="http://schemas.openxmlformats.org/officeDocument/2006/relationships/hyperlink" Target="https://www.antoninewall.org/about-the-antonine-wall/building-the-wall" TargetMode="External"/><Relationship Id="rId16" Type="http://schemas.openxmlformats.org/officeDocument/2006/relationships/hyperlink" Target="https://www.nms.ac.uk/discover-catalogue/a-brief-history-of-roman-scotland" TargetMode="External"/><Relationship Id="rId17" Type="http://schemas.openxmlformats.org/officeDocument/2006/relationships/hyperlink" Target="https://blog.nms.ac.uk/2022/12/22/objects-in-place-the-eildon-hills-scottish-borders/" TargetMode="External"/><Relationship Id="rId18" Type="http://schemas.openxmlformats.org/officeDocument/2006/relationships/hyperlink" Target="https://romansinscotland.com/primary-school-romans-idl-topic-overview/" TargetMode="External"/><Relationship Id="rId19" Type="http://schemas.openxmlformats.org/officeDocument/2006/relationships/hyperlink" Target="https://romansinscotland.com/school-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